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 Uvod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Veličina domaćinstva, izražena kroz broj članova koji žive u jednom domaćinstvu, predstavlja značajan demografski pokazatelj koji osvetljava porodične strukture, životne obrasce i društveno-ekonomske karakteristike određenog područja. Analiza ove pojave 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nivou opština posebno je važna, jer omogućava sagledavanje lokalnih specifičnosti koje često ostaju prikrivene u širim, regionalnim ili nacionalnim analizama.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su preuzeti sa web prezentacije RZS Srbije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0" w:tooltip="https://publikacije.stat.gov.rs/G2025/Xls/G202513052.xlsx" w:history="1">
        <w:r>
          <w:rPr>
            <w:rStyle w:val="174"/>
            <w:rFonts w:ascii="Times New Roman" w:hAnsi="Times New Roman" w:eastAsia="Times New Roman" w:cs="Times New Roman"/>
            <w:sz w:val="24"/>
          </w:rPr>
          <w:t xml:space="preserve">https://publikacije.stat.gov.rs/G2025/Xls/G202513052.xlsx</w:t>
        </w:r>
        <w:r>
          <w:rPr>
            <w:rStyle w:val="174"/>
            <w:rFonts w:ascii="Times New Roman" w:hAnsi="Times New Roman" w:eastAsia="Times New Roman" w:cs="Times New Roman"/>
            <w:sz w:val="24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iz dela: Domaćinstva po broju članova, po popisu 2022.</w:t>
      </w:r>
      <w:r/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Cilj ovog istraživanja je da se analizira struktura domaćinstava prema broju članova u odabranim opštinama: Nova Varoš, Priboj, Prijepolje, Sjenica, Raška i Tutin. 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Istraživanje je strukturirano kroz više poglavlja. Nakon uvoda, sledi analiza podataka po opštinama pojedinačno, zatim poredna analiza, analiza prosečne veličine domaćinstava, a na kraju i zaključak sa sumarnim osvrtom na ključne nalaze.</w:t>
      </w:r>
      <w:r/>
    </w:p>
    <w:p>
      <w:pPr>
        <w:pStyle w:val="15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II Analiza podataka po opštinama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ovom poglavlju detaljno se analizira struktura domaćinstava prema broju članova u svakoj od posmatranih opština: Nova Varoš, Priboj, Prijepolje, Sjenica, Raška i Tutin. Cilj analize je da se sagledaju dominantni tipovi domaćinstava, kao i specifičnosti 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oje odražavaju demografske i društvene karakteristike svake opštine.</w:t>
      </w:r>
      <w:r/>
    </w:p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Nova Varoš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Struktura domaćinstava u Novoj Varoši pokazuje izraženu dominaciju dvočlanih (1.857) i jednočlanih domaćinstava (1.666). Ovakav raspored ukazuje na značajno prisustvo starijeg stanovništva, kao i na tendenciju smanjenja broja članova u domaćinstvima. Domać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instva sa tri i četiri člana su znatno manje zastupljena, dok su petočlana i domaćinstva sa šest i više članova relativno retka, što upućuje na slabiju zastupljenost brojnih porodica.</w:t>
      </w:r>
      <w:r/>
    </w:p>
    <w:p>
      <w:pPr>
        <w:pStyle w:val="19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1: Struktura domaćinstava u opštini Nova Varoš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član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1.666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1.857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898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713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6+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5.600</w:t>
            </w:r>
            <w:r/>
          </w:p>
        </w:tc>
      </w:tr>
    </w:tbl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Priboj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Priboju je uočljiva slična struktura kao u Novoj Varoši, ali sa većim ukupnim brojem domaćinstava. Najzastupljenija su dvočlana (2.874) i jednočlana domaćinstva (2.667), dok domaćinstva sa tri i četiri člana imaju umereno učešće. Domaćinstva sa pet i viš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 članova čine manji deo ukupne strukture, što ukazuje na prevlast manjih porodičnih zajednica.</w:t>
      </w:r>
      <w:r/>
    </w:p>
    <w:p>
      <w:pPr>
        <w:pStyle w:val="19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2: Struktura domaćinstava u opštini Priboj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član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2.667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2.874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6+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9.435</w:t>
            </w:r>
            <w:r/>
          </w:p>
        </w:tc>
      </w:tr>
    </w:tbl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Prijepolje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Prijepolje pokazuje nešto uravnoteženiju strukturu domaćinstava. Iako su i dalje najzastupljenija dvočlana (3.054) i jednočlana domaćinstva (2.668), značajno je veće prisustvo domaćinstava sa četiri, pet i šest i više članova u odnosu na Novu Varoš i Pribo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j. Ova raspodela ukazuje na prisutnost većih porodica i nešto povoljniju demografsku strukturu.</w:t>
      </w:r>
      <w:r/>
    </w:p>
    <w:p>
      <w:pPr>
        <w:pStyle w:val="19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3: Struktura domaćinstava u opštini Prijepolje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član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2.668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3.054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1.889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1.887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1.076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6+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731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11.305</w:t>
            </w:r>
            <w:r/>
          </w:p>
        </w:tc>
      </w:tr>
    </w:tbl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Sjenica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Sjenica se izdvaja po visokom učešću većih domaćinstava. Iako su dvočlana domaćinstva (1.523) i jednočlana (1.343) i dalje brojna, domaćinstva sa četiri, pet i šest i više članova imaju značajno učešće. Posebno je primetno veliko prisustvo domaćinstava sa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šest i više članova (1.014), što ukazuje na tradicionalnije porodične obrasce i viši natalitet.</w:t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19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4: Struktura domaćinstava u opštini Sjenica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član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1.343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1.523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1.086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1.182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924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6+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1.014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7.072</w:t>
            </w:r>
            <w:r/>
          </w:p>
        </w:tc>
      </w:tr>
    </w:tbl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Raška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Opština Raška pokazuje strukturu koja je bliža obrascu manjih domaćinstava, slično Novoj Varoši i Priboju. Dominantna su dvočlana (2.529) i jednočlana domaćinstva (2.294), dok su domaćinstva sa pet i više članova znatno ređa. Ovakva raspodela može ukazivat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 na izražene migracije mlađeg stanovništva i smanjenje broja članova po domaćinstvu.</w:t>
      </w:r>
      <w:r/>
    </w:p>
    <w:p>
      <w:pPr>
        <w:pStyle w:val="19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5: Struktura domaćinstava u opštini Raška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član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2.294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2.529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1.591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6+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8.510</w:t>
            </w:r>
            <w:r/>
          </w:p>
        </w:tc>
      </w:tr>
    </w:tbl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Tutin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Tutin se jasno izdvaja kao opština sa izrazito velikim domaćinstvima. Domaćinstva sa četiri, pet i šest i više članova čine veoma značajan deo ukupne strukture, dok su jednočlana i dvočlana domaćinstva manje dominantna nego u ostalim opštinama. Posebno se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ističe veliki broj domaćinstava sa šest i više članova (1.463), što ukazuje na jake porodične veze i tradicionalne obrasce života.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19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6: Struktura domaćinstava u opštini Tutin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član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1.622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1.867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1.458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1.548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6+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1.463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9.344</w:t>
            </w:r>
            <w:r/>
          </w:p>
        </w:tc>
      </w:tr>
    </w:tbl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po opštinama pokazuje jasne razlike u strukturi domaćinstava, od opština sa dominantno malim domaćinstvima do onih u kojima preovlađuju velike porodične zajednice. U sledećem koraku sledi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poredna analiza podataka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u kojoj će ove razlike biti sistematizovane i upoređene između svih posmatranih opština.</w:t>
      </w:r>
      <w:r/>
    </w:p>
    <w:p>
      <w:pPr>
        <w:pStyle w:val="15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III Uporedna analiza podataka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Uporedna analiza strukture domaćinstava u odabranim opštinama – Novoj Varoši, Priboju, Prijepolju, Sjenici, Raški i Tutinu – omogućava jasnije sagledavanje razlika i sličnosti u demografskim i porodičnim obrascima na lokalnom nivou. Upoređivanjem zastupljen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osti domaćinstava različite veličine mogu se uočiti tipične karakteristike pojedinih opština, ali i širi regionalni trendovi.</w:t>
      </w:r>
      <w:r/>
    </w:p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Opšti obrasci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Opštine se mogu grubo podeliti u dve grupe. Prvu grupu čine Nova Varoš, Priboj i Raška, koje karakteriše dominacija malih domaćinstava, pre svega jednočlanih i dvočlanih. Drugu grupu čine Prijepolje, Sjenica i posebno Tutin, gde je znatno veće učešće sredn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jih i velikih domaćinstava, što ukazuje na očuvanije porodične strukture i veći broj članova po domaćinstvu.</w:t>
      </w:r>
      <w:r/>
    </w:p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Jednočlana i dvočlana domaćinstva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Jednočlana i dvočlana domaćinstva su najbrojnija u opštinama Nova Varoš, Priboj i Raška. U ovim opštinama ova dva tipa domaćinstava zajedno čine više od polovine ukupnog broja domaćinstava. Ovakva struktura najčešće se povezuje sa starenjem stanovništva, 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igracijama mlađih generacija i smanjenim brojem dece po porodici.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Sjenici i Tutinu, iako su jednočlana i dvočlana domaćinstva prisutna, njihov relativni značaj je manji. To ukazuje na to da su domaćinstva u ovim opštinama u proseku brojnija i da samci i parovi bez dece čine manji deo populacije.</w:t>
      </w:r>
      <w:r/>
    </w:p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Srednje velika domaćinstva (3 i 4 člana)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Domaćinstva sa tri i četiri člana predstavljaju važan segment u svim opštinama, ali njihov značaj varira. U Prijepolju i Sjenici ova kategorija je posebno izražena, što ukazuje na stabilne porodične zajednice sa decom. U Novoj Varoši i Raški, ova domaćinst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va su manje zastupljena, što dodatno potvrđuje trend smanjenja porodične veličine.</w:t>
      </w:r>
      <w:r/>
    </w:p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Velika domaćinstva (5 i više članova)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Najveće razlike među opštinama uočavaju se kod domaćinstava sa pet i šest i više članova. Tutin i Sjenica se u ovom pogledu jasno izdvajaju, jer veliki deo domaćinstava čine višebrojne i često višegeneracijske porodice. Prijepolje takođe ima značajan broj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velikih domaćinstava, ali u manjoj meri nego ove dve opštine.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Nasuprot tome, Nova Varoš, Priboj i Raška imaju relativno mali broj velikih domaćinstava, što ukazuje na slabije prisustvo tradicionalnih porodičnih modela i veći uticaj savremenih demografskih tokova.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Style w:val="17"/>
        <w:ind w:left="0" w:right="0" w:firstLine="0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7: Uporedni prikaz strukture domaćinstava po opštinama</w:t>
      </w:r>
      <w:r>
        <w:rPr>
          <w:sz w:val="24"/>
          <w:szCs w:val="24"/>
        </w:rPr>
      </w:r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24"/>
        <w:gridCol w:w="1369"/>
        <w:gridCol w:w="789"/>
        <w:gridCol w:w="1204"/>
        <w:gridCol w:w="897"/>
        <w:gridCol w:w="774"/>
        <w:gridCol w:w="697"/>
      </w:tblGrid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</w:tr>
      <w:tr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član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1.622</w:t>
            </w:r>
            <w:r/>
          </w:p>
        </w:tc>
      </w:tr>
      <w:tr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2.529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1.867</w:t>
            </w:r>
            <w:r/>
          </w:p>
        </w:tc>
      </w:tr>
      <w:tr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1.458</w:t>
            </w:r>
            <w:r/>
          </w:p>
        </w:tc>
      </w:tr>
      <w:tr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1.548</w:t>
            </w:r>
            <w:r/>
          </w:p>
        </w:tc>
      </w:tr>
      <w:tr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1.386</w:t>
            </w:r>
            <w:r/>
          </w:p>
        </w:tc>
      </w:tr>
      <w:tr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6+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6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1.463</w:t>
            </w:r>
            <w:r/>
          </w:p>
        </w:tc>
      </w:tr>
    </w:tbl>
    <w:p>
      <w:pPr>
        <w:pStyle w:val="17"/>
        <w:ind w:left="0" w:right="0" w:firstLine="0"/>
        <w:jc w:val="center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69215" cy="3072631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00234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4969215" cy="307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91.3pt;height:241.9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7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Tumačenje uporednih razlika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Poredna analiza ukazuje da opštine sa većim učešćem ruralnog stanovništva i očuvanim tradicionalnim vrednostima (Sjenica i Tutin) imaju znatno veća domaćinstva. Sa druge strane, opštine koje su duže izložene depopulaciji i migracijama (Nova Varoš, Priboj 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Raška) beleže manja domaćinstva.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Ove razlike imaju važan značaj za planiranje lokalnih politika, jer utiču na potrebe u oblasti obrazovanja, socijalne zaštite, stanovanja i zapošljavanja. U narednom koraku sledi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analiza prosečne veličine domaćinstava po opštinama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koja će kvantitativno potvrditi uočene obrasce.</w:t>
      </w:r>
      <w:r/>
      <w:r>
        <w:rPr>
          <w:rFonts w:ascii="Times New Roman" w:hAnsi="Times New Roman" w:eastAsia="Times New Roman" w:cs="Times New Roman"/>
          <w:color w:val="000000"/>
          <w:sz w:val="24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Style w:val="15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IV Analiza prosečne veličine domaćinstava po opštinama</w:t>
      </w:r>
      <w:r/>
    </w:p>
    <w:p>
      <w:pPr>
        <w:contextualSpacing w:val="0"/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Prosečna veličina domaćinstva predstavlja objedinjeni pokazatelj koji omogućava kvantitativno poređenje opština u pogledu porodične strukture. U ovom poglavlju izračunata je prosečna veličina domaćinstava za svaku posmatranu opštinu na osnovu raspodele dom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aćinstava prema broju članova.</w:t>
      </w:r>
      <w:r/>
    </w:p>
    <w:p>
      <w:pPr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Metodološka napomena: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Kategorija „6 i više članova“ u obračunu je tretirana kao domaćinstvo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 članova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uobičajenu i konzervativnu procenu u demografskim analizama.</w:t>
      </w:r>
      <w:r/>
    </w:p>
    <w:p>
      <w:pPr>
        <w:pStyle w:val="17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7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Nova Varoš</w:t>
      </w:r>
      <w:r/>
    </w:p>
    <w:p>
      <w:pPr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Struktura domaćinstava u Novoj Varoši, sa izraženom dominacijom jednočlanih i dvočlanih domaćinstava, direktno utiče na relativno nisku prosečnu veličinu domaćinstva.</w:t>
      </w:r>
      <w:r/>
    </w:p>
    <w:p>
      <w:pPr>
        <w:pStyle w:val="19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19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8: Izračunavanje prosečne veličine domaćinstva – Nova Varoš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  <w:gridCol w:w="21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članova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1.666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3.714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2.694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2.852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1.550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936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5.600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13.412</w:t>
            </w:r>
            <w:r/>
          </w:p>
        </w:tc>
      </w:tr>
    </w:tbl>
    <w:p>
      <w:pPr>
        <w:contextualSpacing w:val="0"/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Prosečna veličina domaćinstva ≈ 2,39 člana</w:t>
      </w:r>
      <w:r/>
    </w:p>
    <w:p>
      <w:pPr>
        <w:pStyle w:val="17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7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Priboj</w:t>
      </w:r>
      <w:r/>
    </w:p>
    <w:p>
      <w:pPr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ima nešto veću prosečnu veličinu domaćinstva u odnosu na Novu Varoš, ali i dalje spada u opštine sa pretežno manjim domaćinstvima.</w:t>
      </w:r>
      <w:r/>
    </w:p>
    <w:p>
      <w:pPr>
        <w:pStyle w:val="19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19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9: Izračunavanje prosečne veličine domaćinstva – Priboj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  <w:gridCol w:w="21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članova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2.667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5.748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5.130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5.552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2.705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1.530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9.435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23.332</w:t>
            </w:r>
            <w:r/>
          </w:p>
        </w:tc>
      </w:tr>
    </w:tbl>
    <w:p>
      <w:pPr>
        <w:contextualSpacing w:val="0"/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Prosečna veličina domaćinstva ≈ 2,47 člana</w:t>
      </w:r>
      <w:r/>
    </w:p>
    <w:p>
      <w:pPr>
        <w:pStyle w:val="17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7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Prijepolje</w:t>
      </w:r>
      <w:r/>
    </w:p>
    <w:p>
      <w:pPr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Prijepolju je uočen prelazni obrazac – pored značajnog broja manjih domaćinstava, primetno je i veće učešće brojnih porodica, što povećava prosečnu vrednost.</w:t>
      </w:r>
      <w:r/>
    </w:p>
    <w:p>
      <w:pPr>
        <w:pStyle w:val="19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19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10: Izračunavanje prosečne veličine domaćinstva – Prijepolje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  <w:gridCol w:w="21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članova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2.668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6.108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5.667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7.548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5.380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4.386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11.305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31.757</w:t>
            </w:r>
            <w:r/>
          </w:p>
        </w:tc>
      </w:tr>
    </w:tbl>
    <w:p>
      <w:pPr>
        <w:contextualSpacing w:val="0"/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Prosečna veličina domaćinstva ≈ 2,81 član</w:t>
      </w:r>
      <w:r/>
    </w:p>
    <w:p>
      <w:pPr>
        <w:pStyle w:val="17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7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Sjenica</w:t>
      </w:r>
      <w:r/>
    </w:p>
    <w:p>
      <w:pPr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Sjenica se izdvaja po znatno većem učešću velikih domaćinstava, što se jasno odražava i na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prosečnu veličinu domaćinstva.</w:t>
      </w:r>
      <w:r/>
      <w:r/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contextualSpacing w:val="0"/>
        <w:jc w:val="left"/>
        <w:spacing w:before="0" w:after="0"/>
        <w:shd w:val="nil" w:color="00000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jc w:val="left"/>
        <w:spacing w:before="0" w:after="0"/>
        <w:shd w:val="nil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11: Izračunavanje prosečne veličine domaćinstva – Sjenica</w:t>
      </w:r>
      <w:r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  <w:gridCol w:w="21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članova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1.343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3.046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3.258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4.728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4.620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6.084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7.072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23.079</w:t>
            </w:r>
            <w:r/>
          </w:p>
        </w:tc>
      </w:tr>
    </w:tbl>
    <w:p>
      <w:pPr>
        <w:contextualSpacing w:val="0"/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Prosečna veličina domaćinstva ≈ 3,26 članova</w:t>
      </w:r>
      <w:r/>
    </w:p>
    <w:p>
      <w:pPr>
        <w:pStyle w:val="17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7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Raška</w:t>
      </w:r>
      <w:r/>
    </w:p>
    <w:p>
      <w:pPr>
        <w:contextualSpacing w:val="0"/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Raška ima strukturu domaćinstava sličnu Novoj Varoši i Priboju, sa naglašenim udelom manjih domaćinstava.</w:t>
      </w:r>
      <w:r/>
    </w:p>
    <w:p>
      <w:pPr>
        <w:pStyle w:val="19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19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12: Izračunavanje prosečne veličine domaćinstva – Raška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  <w:gridCol w:w="21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članova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2.294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2.529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5.058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4.773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5.556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2.550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1.182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8.510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21.413</w:t>
            </w:r>
            <w:r/>
          </w:p>
        </w:tc>
      </w:tr>
    </w:tbl>
    <w:p>
      <w:pPr>
        <w:contextualSpacing w:val="0"/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Prosečna veličina domaćinstva ≈ 2,52 člana</w:t>
      </w:r>
      <w:r/>
    </w:p>
    <w:p>
      <w:pPr>
        <w:pStyle w:val="17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7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Tutin</w:t>
      </w:r>
      <w:r/>
    </w:p>
    <w:p>
      <w:pPr>
        <w:contextualSpacing w:val="0"/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Tutin ima najizraženiju strukturu velikih domaćinstava među svim posmatranim opštinama, što rezultira i najvišom prosečnom veličinom domaćinstva.</w:t>
      </w:r>
      <w:r/>
    </w:p>
    <w:p>
      <w:pPr>
        <w:pStyle w:val="19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19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13: Izračunavanje prosečne veličine domaćinstva – Tutin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  <w:gridCol w:w="21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članova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1.622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3.734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4.374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6.192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6.930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8.778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9.344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57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31.630</w:t>
            </w:r>
            <w:r/>
          </w:p>
        </w:tc>
      </w:tr>
    </w:tbl>
    <w:p>
      <w:pPr>
        <w:contextualSpacing w:val="0"/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Prosečna veličina domaćinstva ≈ 3,38 članova</w:t>
      </w:r>
      <w:r/>
    </w:p>
    <w:p>
      <w:pPr>
        <w:pStyle w:val="17"/>
        <w:ind w:left="0" w:right="0" w:firstLine="0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14: Uporedni pregled prosečnih vrednosti</w:t>
      </w:r>
      <w:r>
        <w:rPr>
          <w:sz w:val="24"/>
          <w:szCs w:val="24"/>
        </w:rPr>
      </w:r>
    </w:p>
    <w:tbl>
      <w:tblPr>
        <w:tblStyle w:val="48"/>
        <w:tblW w:w="0" w:type="auto"/>
        <w:jc w:val="center"/>
        <w:tblInd w:w="-55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Prosečna veličina domaćinstva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≈ 2,39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≈ 2,47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≈ 2,52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≈ 2,81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≈ 3,26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≈ 3,38</w:t>
            </w:r>
            <w:r/>
          </w:p>
        </w:tc>
      </w:tr>
    </w:tbl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Rezultati jasno potvrđuju ranije uočene obrasce: opštine sa većim učešćem velikih domaćinstava (Tutin i Sjenica) imaju znatno višu prosečnu veličinu domaćinstva, dok opštine pogođene depopulacijom i migracijama imaju manja domaćinstva.</w:t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80651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240" w:after="24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sledećem i završnom koraku sledi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Zaključak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u kojem će biti objedinjeni ključni nalazi istraživanja na nivou opština.</w:t>
      </w:r>
      <w:r/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highlight w:val="none"/>
        </w:rPr>
      </w:r>
    </w:p>
    <w:p>
      <w:pPr>
        <w:pStyle w:val="15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V Zaključak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Sprovedeno istraživanje strukture domaćinstava u odabranim opštinama – Novoj Varoši, Priboju, Prijepolju, Sjenici, Raški i Tutinu – pokazalo je izražene razlike u veličini i tipu domaćinstava, koje su rezultat različitih demografskih, socio-ekonomskih i ku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lturnih karakteristika ovih sredina.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Rezultati analize ukazuju da Nova Varoš, Priboj i Raška imaju pretežno mala domaćinstva, u kojima dominiraju jednočlana i dvočlana domaćinstva. Prosečna veličina domaćinstva u ovim opštinama kreće se između 2,39 i 2,52 člana, što je pokazatelj procesa depo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pulacije, starenja stanovništva i migracija mlađih generacija ka većim urbanim centrima ili inostranstvu.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Prijepolje zauzima srednju poziciju među analiziranim opštinama. Iako su i dalje prisutna manja domaćinstva, veće učešće tročlanih, četvoročlanih i petočlanih domaćinstava dovodi do nešto veće prosečne veličine domaćinstva (oko 2,81 člana). Ovakva struktur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 ukazuje na relativno stabilniju porodičnu dinamiku u odnosu na prethodnu grupu opština.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Sjenica i Tutin se jasno izdvajaju kao opštine sa dominantno velikim domaćinstvima. Visok udeo domaćinstava sa pet i sa šest i više članova rezultirao je znatno većom prosečnom veličinom domaćinstva, koja iznosi oko 3,26 članova u Sjenici i čak 3,38 članov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 u Tutinu. Ovi podaci ukazuju na očuvane tradicionalne porodične modele, veći broj dece po porodici i jače prisustvo višegeneracijskih domaćinstava.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Zaključno, istraživanje potvrđuje da veličina domaćinstva predstavlja važan pokazatelj demografskih procesa na lokalnom nivou. Razlike među opštinama imaju značajne implikacije za planiranje javnih politika, posebno u oblastima obrazovanja, socijalne zašti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te, stanovanja i lokalnog ekonomskog razvoja. Dobijeni rezultati mogu poslužiti kao osnova za dalja, detaljnija istraživanja demografskih trendova i razvojnih potreba ovih opština.</w:t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48"/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5669"/>
    </w:tblGrid>
    <w:tr>
      <w:trPr/>
      <w:tc>
        <w:tcPr>
          <w:tcBorders>
            <w:top w:val="none" w:color="000000" w:sz="4" w:space="0"/>
            <w:left w:val="none" w:color="000000" w:sz="4" w:space="0"/>
            <w:bottom w:val="single" w:color="000000" w:sz="4" w:space="0"/>
            <w:right w:val="single" w:color="000000" w:sz="4" w:space="0"/>
          </w:tcBorders>
          <w:tcW w:w="3260" w:type="dxa"/>
          <w:textDirection w:val="lrTb"/>
          <w:noWrap w:val="false"/>
        </w:tcPr>
        <w:p>
          <w:pPr>
            <w:pStyle w:val="42"/>
            <w:rPr>
              <w:highlight w:val="none"/>
            </w:rPr>
          </w:pPr>
          <w:r>
            <w:rPr>
              <w:highlight w:val="none"/>
            </w:rPr>
          </w:r>
          <w:hyperlink r:id="rId3" w:tooltip="https://ufuk.rs/" w:history="1">
            <w:r>
              <w:rPr>
                <w:rStyle w:val="174"/>
                <w:highlight w:val="none"/>
              </w:rPr>
            </w:r>
            <w:r>
              <w:rPr>
                <w:rStyle w:val="17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9165" cy="176546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496823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"/>
                              <a:srcRect l="0" t="37655" r="0" b="3908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59160" cy="176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9.8pt;height:13.9pt;mso-wrap-distance-left:0.0pt;mso-wrap-distance-top:0.0pt;mso-wrap-distance-right:0.0pt;mso-wrap-distance-bottom:0.0pt;" stroked="false">
                      <v:path textboxrect="0,0,0,0"/>
                      <v:imagedata r:id="rId1" o:title=""/>
                    </v:shape>
                  </w:pict>
                </mc:Fallback>
              </mc:AlternateContent>
              <w:t xml:space="preserve">powered by </w:t>
            </w:r>
            <w:r>
              <w:rPr>
                <w:rStyle w:val="17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4574" cy="18657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3447209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"/>
                              <a:srcRect l="17992" t="28202" r="17670" b="3696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44574" cy="1865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7.1pt;height:14.7pt;mso-wrap-distance-left:0.0pt;mso-wrap-distance-top:0.0pt;mso-wrap-distance-right:0.0pt;mso-wrap-distance-bottom:0.0pt;" stroked="false">
                      <v:path textboxrect="0,0,0,0"/>
                      <v:imagedata r:id="rId2" o:title=""/>
                    </v:shape>
                  </w:pict>
                </mc:Fallback>
              </mc:AlternateContent>
            </w:r>
            <w:r>
              <w:rPr>
                <w:rStyle w:val="174"/>
              </w:rPr>
              <w:t xml:space="preserve"> </w:t>
            </w:r>
            <w:r>
              <w:rPr>
                <w:rStyle w:val="174"/>
                <w:highlight w:val="none"/>
              </w:rPr>
            </w:r>
            <w:r>
              <w:rPr>
                <w:rStyle w:val="174"/>
              </w:rPr>
            </w:r>
          </w:hyperlink>
          <w:r>
            <w:rPr>
              <w:highlight w:val="none"/>
            </w:rPr>
          </w:r>
          <w:r/>
        </w:p>
      </w:tc>
      <w:tc>
        <w:tcPr>
          <w:tcBorders>
            <w:top w:val="none" w:color="000000" w:sz="4" w:space="0"/>
            <w:left w:val="single" w:color="000000" w:sz="4" w:space="0"/>
            <w:bottom w:val="single" w:color="000000" w:sz="4" w:space="0"/>
            <w:right w:val="none" w:color="000000" w:sz="4" w:space="0"/>
          </w:tcBorders>
          <w:tcW w:w="5669" w:type="dxa"/>
          <w:textDirection w:val="lrTb"/>
          <w:noWrap w:val="false"/>
        </w:tcPr>
        <w:p>
          <w:pPr>
            <w:pStyle w:val="44"/>
          </w:pPr>
          <w:r>
            <w:rPr>
              <w:sz w:val="22"/>
              <w:szCs w:val="22"/>
            </w:rPr>
          </w:r>
          <w:r>
            <w:rPr>
              <w:sz w:val="22"/>
              <w:szCs w:val="22"/>
              <w:u w:val="none"/>
            </w:rPr>
            <w:t xml:space="preserve">Veličina domaćinstava po opštinama </w:t>
            <w:br/>
            <w:t xml:space="preserve">(po podacima popisa 2022.)</w:t>
          </w:r>
          <w:r/>
          <w:r/>
        </w:p>
      </w:tc>
    </w:tr>
  </w:tbl>
  <w:p>
    <w:pPr>
      <w:pStyle w:val="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https://publikacije.stat.gov.rs/G2025/Xls/G202513052.xlsx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https://ufuk.rs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2026-01-03T13:32:41Z</dcterms:modified>
</cp:coreProperties>
</file>